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Layout w:type="fixed"/>
        <w:tblW w:w="16386" w:type="dxa"/>
      </w:tblPr>
      <w:tblGrid>
        <w:gridCol w:w="8193"/>
        <w:gridCol w:w="8193"/>
      </w:tblGrid>
      <w:tr>
        <w:tc>
          <w:tcPr>
            <w:tcW w:type="dxa" w:w="8193"/>
            <w:tcMar>
              <w:left w:w="793" w:type="dxa"/>
              <w:right w:w="510" w:type="dxa"/>
              <w:top w:w="0" w:type="dxa"/>
              <w:bottom w:w="0" w:type="dxa"/>
            </w:tcMar>
          </w:tcPr>
          <w:p>
            <w:pPr>
              <w:spacing w:before="120" w:after="0" w:line="240" w:lineRule="auto"/>
              <w:jc w:val="center"/>
            </w:pPr>
            <w:r>
              <w:drawing>
                <wp:inline xmlns:a="http://schemas.openxmlformats.org/drawingml/2006/main" xmlns:pic="http://schemas.openxmlformats.org/drawingml/2006/picture">
                  <wp:extent cx="4320000" cy="330323"/>
                  <wp:docPr id="1" name="Picture 1"/>
                  <wp:cNvGraphicFramePr>
                    <a:graphicFrameLocks noChangeAspect="1"/>
                  </wp:cNvGraphicFramePr>
                  <a:graphic>
                    <a:graphicData uri="http://schemas.openxmlformats.org/drawingml/2006/picture">
                      <pic:pic>
                        <pic:nvPicPr>
                          <pic:cNvPr id="0" name="header_ornament.png"/>
                          <pic:cNvPicPr/>
                        </pic:nvPicPr>
                        <pic:blipFill>
                          <a:blip r:embed="rId9"/>
                          <a:stretch>
                            <a:fillRect/>
                          </a:stretch>
                        </pic:blipFill>
                        <pic:spPr>
                          <a:xfrm>
                            <a:off x="0" y="0"/>
                            <a:ext cx="4320000" cy="330323"/>
                          </a:xfrm>
                          <a:prstGeom prst="rect"/>
                        </pic:spPr>
                      </pic:pic>
                    </a:graphicData>
                  </a:graphic>
                </wp:inline>
              </w:drawing>
            </w:r>
          </w:p>
          <w:p>
            <w:pPr>
              <w:spacing w:before="0" w:after="0" w:line="240" w:lineRule="exact"/>
              <w:jc w:val="center"/>
            </w:pPr>
            <w:r>
              <w:rPr>
                <w:rFonts w:ascii="Times New Roman" w:hAnsi="Times New Roman"/>
                <w:b/>
                <w:sz w:val="20"/>
              </w:rPr>
              <w:t>POWER OF ATTORNEY</w:t>
            </w:r>
          </w:p>
          <w:p>
            <w:pPr>
              <w:spacing w:before="80" w:after="0" w:line="168" w:lineRule="exact"/>
              <w:jc w:val="center"/>
            </w:pPr>
            <w:r>
              <w:rPr>
                <w:rFonts w:ascii="Times New Roman" w:hAnsi="Times New Roman"/>
                <w:b/>
                <w:sz w:val="14"/>
              </w:rPr>
              <w:t>City of Moscow, Russian Federation.</w:t>
            </w:r>
          </w:p>
          <w:p>
            <w:pPr>
              <w:spacing w:before="0" w:after="0" w:line="168" w:lineRule="exact"/>
              <w:jc w:val="center"/>
            </w:pPr>
            <w:r>
              <w:rPr>
                <w:rFonts w:ascii="Times New Roman" w:hAnsi="Times New Roman"/>
                <w:b/>
                <w:sz w:val="14"/>
              </w:rPr>
              <w:t>The fifth of July, two thousand thirteen.</w:t>
            </w:r>
          </w:p>
          <w:p>
            <w:pPr>
              <w:spacing w:before="0" w:after="0" w:line="180" w:lineRule="exact"/>
              <w:ind w:left="2098"/>
              <w:jc w:val="left"/>
            </w:pPr>
            <w:r>
              <w:rPr>
                <w:rFonts w:ascii="Courier New" w:hAnsi="Courier New"/>
                <w:color w:val="C03030"/>
                <w:sz w:val="18"/>
              </w:rPr>
              <w:t>77 А А 7119078</w:t>
            </w:r>
          </w:p>
          <w:p>
            <w:pPr>
              <w:spacing w:before="0" w:after="0" w:line="152" w:lineRule="exact"/>
              <w:ind w:firstLine="510"/>
              <w:jc w:val="both"/>
            </w:pPr>
            <w:r>
              <w:rPr>
                <w:rFonts w:ascii="Times New Roman" w:hAnsi="Times New Roman"/>
                <w:b w:val="0"/>
                <w:sz w:val="13"/>
              </w:rPr>
              <w:t xml:space="preserve">The Electoral Association “All-Russian Political Party ”Civic Force" represented by the Chairman of the Federal Political Council </w:t>
            </w:r>
            <w:r>
              <w:rPr>
                <w:rFonts w:ascii="Arial" w:hAnsi="Arial"/>
                <w:b/>
                <w:sz w:val="13"/>
              </w:rPr>
              <w:t>Ryavkin Aleksandr Yuryevich</w:t>
            </w:r>
            <w:r>
              <w:rPr>
                <w:rFonts w:ascii="Times New Roman" w:hAnsi="Times New Roman"/>
                <w:b w:val="0"/>
                <w:sz w:val="13"/>
              </w:rPr>
              <w:t>, acting on the basis of the Articles of Association, as well as the resolution of the Federal Political Council of the All-Russian Political Party “Civic Force” on the appointment of authorized representatives of the electoral association dated June 30, 2013, by this power of attorney authorizes the citizen</w:t>
            </w:r>
          </w:p>
          <w:p>
            <w:pPr>
              <w:spacing w:before="0" w:after="0" w:line="152" w:lineRule="exact"/>
              <w:ind w:firstLine="510"/>
              <w:jc w:val="both"/>
            </w:pPr>
            <w:r>
              <w:rPr>
                <w:rFonts w:ascii="Arial" w:hAnsi="Arial"/>
                <w:b/>
                <w:sz w:val="13"/>
              </w:rPr>
              <w:t>Surname Name Patronymic</w:t>
            </w:r>
            <w:r>
              <w:rPr>
                <w:rFonts w:ascii="Times New Roman" w:hAnsi="Times New Roman"/>
                <w:b/>
                <w:sz w:val="13"/>
              </w:rPr>
              <w:t xml:space="preserve"> , date of birth 16.12.1981, place of birth CITY OF TOLYATTI, SAMARA OBLAST, type of document: passport of a citizen of the Russian Federation </w:t>
            </w:r>
            <w:r>
              <w:rPr>
                <w:rFonts w:ascii="Arial" w:hAnsi="Arial"/>
                <w:b/>
                <w:sz w:val="13"/>
              </w:rPr>
              <w:t>series and number</w:t>
            </w:r>
            <w:r>
              <w:rPr>
                <w:rFonts w:ascii="Times New Roman" w:hAnsi="Times New Roman"/>
                <w:b/>
                <w:sz w:val="13"/>
              </w:rPr>
              <w:t xml:space="preserve"> , issued on 20.04.2005 by the AVTOZAVODSKY DISTRICT DEPARTMENT OF INTERNAL AFFAIRS OF THE CITY OF TOLYATTI, SAMARA OBLAST, unit code 632-033, residential address: Samara Oblast, Tolyatti, 40 Let Pobedy St., house </w:t>
            </w:r>
            <w:r>
              <w:rPr>
                <w:rFonts w:ascii="Arial" w:hAnsi="Arial"/>
                <w:b/>
                <w:sz w:val="13"/>
              </w:rPr>
              <w:t>No.</w:t>
            </w:r>
            <w:r>
              <w:rPr>
                <w:rFonts w:ascii="Times New Roman" w:hAnsi="Times New Roman"/>
                <w:b/>
                <w:sz w:val="13"/>
              </w:rPr>
              <w:t xml:space="preserve"> , apt.</w:t>
            </w:r>
            <w:r>
              <w:rPr>
                <w:rFonts w:ascii="Arial" w:hAnsi="Arial"/>
                <w:b/>
                <w:sz w:val="13"/>
              </w:rPr>
              <w:t>No.</w:t>
            </w:r>
            <w:r>
              <w:rPr>
                <w:rFonts w:ascii="Times New Roman" w:hAnsi="Times New Roman"/>
                <w:b/>
                <w:sz w:val="13"/>
              </w:rPr>
              <w:t xml:space="preserve"> to be the authorized representative for financial matters of the electoral association “All-Russian Political Party ”Civic Force“, specifically on matters related to the participation of the said electoral association in the elections of deputies to the Duma of the Tolyatti City District of the sixth convocation and to perform necessary actions within the limits of the specified powers:</w:t>
            </w:r>
          </w:p>
          <w:p>
            <w:pPr>
              <w:spacing w:before="0" w:after="0" w:line="152" w:lineRule="exact"/>
              <w:jc w:val="both"/>
            </w:pPr>
            <w:r>
              <w:rPr>
                <w:rFonts w:ascii="Times New Roman" w:hAnsi="Times New Roman"/>
                <w:b w:val="0"/>
                <w:sz w:val="13"/>
              </w:rPr>
              <w:t>a) opening a special electoral account;</w:t>
            </w:r>
          </w:p>
          <w:p>
            <w:pPr>
              <w:spacing w:before="0" w:after="0" w:line="152" w:lineRule="exact"/>
              <w:jc w:val="both"/>
            </w:pPr>
            <w:r>
              <w:rPr>
                <w:rFonts w:ascii="Times New Roman" w:hAnsi="Times New Roman"/>
                <w:b w:val="0"/>
                <w:sz w:val="13"/>
              </w:rPr>
              <w:t>b) disposal of the funds of the electoral fund, including the issuance of instructions for the transfer of funds (cash withdrawal) from the special electoral account, the return of funds from the special electoral account to the citizens and legal entities that sent them, as well as the proportional distribution of the remaining funds from the special electoral account;</w:t>
            </w:r>
          </w:p>
          <w:p>
            <w:pPr>
              <w:spacing w:before="0" w:after="0" w:line="152" w:lineRule="exact"/>
              <w:jc w:val="both"/>
            </w:pPr>
            <w:r>
              <w:rPr>
                <w:rFonts w:ascii="Times New Roman" w:hAnsi="Times New Roman"/>
                <w:b w:val="0"/>
                <w:sz w:val="13"/>
              </w:rPr>
              <w:t>c) accounting for the funds of the electoral fund, including obtaining statements for the special electoral account and primary financial documents from the branch of Sberbank – the holder of the special electoral account;</w:t>
            </w:r>
          </w:p>
          <w:p>
            <w:pPr>
              <w:spacing w:before="0" w:after="0" w:line="152" w:lineRule="exact"/>
              <w:jc w:val="both"/>
            </w:pPr>
            <w:r>
              <w:rPr>
                <w:rFonts w:ascii="Times New Roman" w:hAnsi="Times New Roman"/>
                <w:b w:val="0"/>
                <w:sz w:val="13"/>
              </w:rPr>
              <w:t>d) monitoring the receipt and expenditure of funds from the electoral fund, returning (transferring to the local budget revenue) donations received in violation of the established procedure;</w:t>
            </w:r>
          </w:p>
          <w:p>
            <w:pPr>
              <w:spacing w:before="0" w:after="0" w:line="152" w:lineRule="exact"/>
              <w:jc w:val="both"/>
            </w:pPr>
            <w:r>
              <w:rPr>
                <w:rFonts w:ascii="Times New Roman" w:hAnsi="Times New Roman"/>
                <w:b w:val="0"/>
                <w:sz w:val="13"/>
              </w:rPr>
              <w:t>e) submitting financial reports and primary financial documents confirming the receipt and expenditure of funds from the electoral fund, as well as other documents on behalf of the electoral association, to the election commission;</w:t>
            </w:r>
          </w:p>
          <w:p>
            <w:pPr>
              <w:spacing w:before="0" w:after="0" w:line="152" w:lineRule="exact"/>
              <w:jc w:val="both"/>
            </w:pPr>
            <w:r>
              <w:rPr>
                <w:rFonts w:ascii="Times New Roman" w:hAnsi="Times New Roman"/>
                <w:b w:val="0"/>
                <w:sz w:val="13"/>
              </w:rPr>
              <w:t>f) the right to conclude and terminate contracts, deals, and agreements related to the financing of the election campaign of the electoral association, to sign certificates of completion, schedules for the provision of airtime, print space, certificates, and other appendices and documents related to the financing of the election campaign;</w:t>
            </w:r>
          </w:p>
          <w:p>
            <w:pPr>
              <w:spacing w:before="0" w:after="0" w:line="152" w:lineRule="exact"/>
              <w:jc w:val="both"/>
            </w:pPr>
            <w:r>
              <w:rPr>
                <w:rFonts w:ascii="Times New Roman" w:hAnsi="Times New Roman"/>
                <w:b w:val="0"/>
                <w:sz w:val="13"/>
              </w:rPr>
              <w:t>g) closing the special electoral account;</w:t>
            </w:r>
          </w:p>
          <w:p>
            <w:pPr>
              <w:spacing w:before="0" w:after="0" w:line="152" w:lineRule="exact"/>
              <w:jc w:val="both"/>
            </w:pPr>
            <w:r>
              <w:rPr>
                <w:rFonts w:ascii="Times New Roman" w:hAnsi="Times New Roman"/>
                <w:b w:val="0"/>
                <w:sz w:val="13"/>
              </w:rPr>
              <w:t>h) the right to sign settlement documents and other documents related to the financing of the election campaign;</w:t>
            </w:r>
          </w:p>
          <w:p>
            <w:pPr>
              <w:spacing w:before="0" w:after="0" w:line="152" w:lineRule="exact"/>
              <w:jc w:val="both"/>
            </w:pPr>
            <w:r>
              <w:rPr>
                <w:rFonts w:ascii="Times New Roman" w:hAnsi="Times New Roman"/>
                <w:b w:val="0"/>
                <w:sz w:val="13"/>
              </w:rPr>
              <w:t>i) the right to use the seal for the certification of financial documents;</w:t>
            </w:r>
          </w:p>
          <w:p>
            <w:pPr>
              <w:spacing w:before="0" w:after="0" w:line="152" w:lineRule="exact"/>
              <w:jc w:val="both"/>
            </w:pPr>
            <w:r>
              <w:rPr>
                <w:rFonts w:ascii="Times New Roman" w:hAnsi="Times New Roman"/>
                <w:b w:val="0"/>
                <w:sz w:val="13"/>
              </w:rPr>
              <w:t>j) the right to represent the interests of the electoral association All-Russian Political Party “Civic Force” in the relevant election commissions, courts, state and municipal bodies and organizations, and in relations with individuals;</w:t>
            </w:r>
          </w:p>
          <w:p>
            <w:pPr>
              <w:spacing w:before="0" w:after="0" w:line="152" w:lineRule="exact"/>
              <w:jc w:val="both"/>
            </w:pPr>
            <w:r>
              <w:rPr>
                <w:rFonts w:ascii="Times New Roman" w:hAnsi="Times New Roman"/>
                <w:b w:val="0"/>
                <w:sz w:val="13"/>
              </w:rPr>
              <w:t>k) the right to provide, submit, and receive necessary documents at the Election Commission of the Tolyatti City District, and at other election commissions, bodies, and organizations;</w:t>
            </w:r>
          </w:p>
          <w:p>
            <w:pPr>
              <w:spacing w:before="0" w:after="0" w:line="152" w:lineRule="exact"/>
              <w:jc w:val="both"/>
            </w:pPr>
            <w:r>
              <w:rPr>
                <w:rFonts w:ascii="Times New Roman" w:hAnsi="Times New Roman"/>
                <w:b w:val="0"/>
                <w:sz w:val="13"/>
              </w:rPr>
              <w:t>l) other powers concerning the activities of the electoral association regarding the financing of its election campaign;</w:t>
            </w:r>
          </w:p>
          <w:p>
            <w:pPr>
              <w:spacing w:before="0" w:after="0" w:line="152" w:lineRule="exact"/>
              <w:jc w:val="both"/>
            </w:pPr>
            <w:r>
              <w:rPr>
                <w:rFonts w:ascii="Times New Roman" w:hAnsi="Times New Roman"/>
                <w:b w:val="0"/>
                <w:sz w:val="13"/>
              </w:rPr>
              <w:t>m) other powers related to the exercise of the powers listed above.</w:t>
            </w:r>
          </w:p>
          <w:p>
            <w:pPr>
              <w:spacing w:before="0" w:after="0" w:line="152" w:lineRule="exact"/>
              <w:ind w:firstLine="510"/>
              <w:jc w:val="both"/>
            </w:pPr>
            <w:r>
              <w:rPr>
                <w:rFonts w:ascii="Times New Roman" w:hAnsi="Times New Roman"/>
                <w:b w:val="0"/>
                <w:sz w:val="13"/>
              </w:rPr>
              <w:t xml:space="preserve">The powers of the citizen            </w:t>
            </w:r>
            <w:r>
              <w:rPr>
                <w:rFonts w:ascii="Arial" w:hAnsi="Arial"/>
                <w:b/>
                <w:sz w:val="13"/>
              </w:rPr>
              <w:t>Surname Name Patronymic</w:t>
            </w:r>
            <w:r>
              <w:rPr>
                <w:rFonts w:ascii="Times New Roman" w:hAnsi="Times New Roman"/>
                <w:b w:val="0"/>
                <w:sz w:val="13"/>
              </w:rPr>
              <w:t xml:space="preserve">            under this power of attorney shall commence from the moment of their registration as an authorized representative for financial matters by the Election Commission of the Tolyatti City District and shall terminate sixty days after the voting day, or in the case of judicial proceedings — from the day following the day the court decision enters into legal force.</w:t>
            </w:r>
          </w:p>
          <w:p>
            <w:pPr>
              <w:spacing w:before="0" w:after="0" w:line="152" w:lineRule="exact"/>
              <w:ind w:firstLine="510"/>
              <w:jc w:val="both"/>
            </w:pPr>
            <w:r>
              <w:rPr>
                <w:rFonts w:ascii="Times New Roman" w:hAnsi="Times New Roman"/>
                <w:b w:val="0"/>
                <w:sz w:val="13"/>
              </w:rPr>
              <w:t>The total term of the power of attorney is until the thirty-first of December, two thousand thirteen.</w:t>
            </w:r>
          </w:p>
          <w:p>
            <w:pPr>
              <w:spacing w:before="0" w:after="0" w:line="152" w:lineRule="exact"/>
              <w:ind w:firstLine="510"/>
              <w:jc w:val="both"/>
            </w:pPr>
            <w:r>
              <w:rPr>
                <w:rFonts w:ascii="Times New Roman" w:hAnsi="Times New Roman"/>
                <w:b w:val="0"/>
                <w:sz w:val="13"/>
              </w:rPr>
              <w:t>The power of attorney is issued without the right of sub-delegation.</w:t>
            </w:r>
          </w:p>
          <w:p>
            <w:pPr>
              <w:spacing w:before="0" w:after="0" w:line="152" w:lineRule="exact"/>
              <w:jc w:val="both"/>
            </w:pPr>
            <w:r>
              <w:rPr>
                <w:rFonts w:ascii="Times New Roman" w:hAnsi="Times New Roman"/>
                <w:b w:val="0"/>
                <w:sz w:val="13"/>
              </w:rPr>
              <w:t>Seal impression for financial documents of the electoral association:</w:t>
            </w:r>
          </w:p>
          <w:tbl>
            <w:tblPr>
              <w:tblLook w:firstColumn="1" w:firstRow="1" w:lastColumn="0" w:lastRow="0" w:noHBand="0" w:noVBand="1" w:val="04A0"/>
              <w:tblLayout w:type="fixed"/>
              <w:tblW w:w="6860" w:type="dxa"/>
            </w:tblPr>
            <w:tblGrid>
              <w:gridCol w:w="4989"/>
              <w:gridCol w:w="1871"/>
            </w:tblGrid>
            <w:tr>
              <w:tc>
                <w:tcPr>
                  <w:tcW w:type="dxa" w:w="4989"/>
                  <w:tcMar>
                    <w:left w:w="0" w:type="dxa"/>
                    <w:right w:w="0" w:type="dxa"/>
                    <w:top w:w="0" w:type="dxa"/>
                    <w:bottom w:w="0" w:type="dxa"/>
                  </w:tcMar>
                  <w:tcBorders>
                    <w:bottom w:val="single" w:sz="6" w:space="0" w:color="000000"/>
                  </w:tcBorders>
                  <w:vAlign w:val="bottom"/>
                </w:tcPr>
                <w:p>
                  <w:pPr>
                    <w:spacing w:before="0" w:after="0" w:line="240" w:lineRule="auto"/>
                    <w:jc w:val="left"/>
                  </w:pPr>
                  <w:r>
                    <w:drawing>
                      <wp:inline xmlns:a="http://schemas.openxmlformats.org/drawingml/2006/main" xmlns:pic="http://schemas.openxmlformats.org/drawingml/2006/picture">
                        <wp:extent cx="2993760" cy="342144"/>
                        <wp:docPr id="2" name="Picture 2"/>
                        <wp:cNvGraphicFramePr>
                          <a:graphicFrameLocks noChangeAspect="1"/>
                        </wp:cNvGraphicFramePr>
                        <a:graphic>
                          <a:graphicData uri="http://schemas.openxmlformats.org/drawingml/2006/picture">
                            <pic:pic>
                              <pic:nvPicPr>
                                <pic:cNvPr id="0" name="sign_chair.png"/>
                                <pic:cNvPicPr/>
                              </pic:nvPicPr>
                              <pic:blipFill>
                                <a:blip r:embed="rId10"/>
                                <a:stretch>
                                  <a:fillRect/>
                                </a:stretch>
                              </pic:blipFill>
                              <pic:spPr>
                                <a:xfrm>
                                  <a:off x="0" y="0"/>
                                  <a:ext cx="2993760" cy="342144"/>
                                </a:xfrm>
                                <a:prstGeom prst="rect"/>
                              </pic:spPr>
                            </pic:pic>
                          </a:graphicData>
                        </a:graphic>
                      </wp:inline>
                    </w:drawing>
                  </w:r>
                </w:p>
              </w:tc>
              <w:tc>
                <w:tcPr>
                  <w:tcW w:type="dxa" w:w="1871"/>
                  <w:tcMar>
                    <w:left w:w="0" w:type="dxa"/>
                    <w:right w:w="0" w:type="dxa"/>
                    <w:top w:w="0" w:type="dxa"/>
                    <w:bottom w:w="0" w:type="dxa"/>
                  </w:tcMar>
                  <w:tcBorders>
                    <w:bottom w:val="single" w:sz="6" w:space="0" w:color="000000"/>
                  </w:tcBorders>
                </w:tcPr>
                <w:p>
                  <w:pPr>
                    <w:spacing w:before="0" w:after="0" w:line="240" w:lineRule="auto"/>
                    <w:jc w:val="center"/>
                  </w:pPr>
                  <w:r>
                    <w:drawing>
                      <wp:inline xmlns:a="http://schemas.openxmlformats.org/drawingml/2006/main" xmlns:pic="http://schemas.openxmlformats.org/drawingml/2006/picture">
                        <wp:extent cx="1005048" cy="876744"/>
                        <wp:docPr id="3" name="Picture 3"/>
                        <wp:cNvGraphicFramePr>
                          <a:graphicFrameLocks noChangeAspect="1"/>
                        </wp:cNvGraphicFramePr>
                        <a:graphic>
                          <a:graphicData uri="http://schemas.openxmlformats.org/drawingml/2006/picture">
                            <pic:pic>
                              <pic:nvPicPr>
                                <pic:cNvPr id="0" name="seal_party.png"/>
                                <pic:cNvPicPr/>
                              </pic:nvPicPr>
                              <pic:blipFill>
                                <a:blip r:embed="rId11"/>
                                <a:stretch>
                                  <a:fillRect/>
                                </a:stretch>
                              </pic:blipFill>
                              <pic:spPr>
                                <a:xfrm>
                                  <a:off x="0" y="0"/>
                                  <a:ext cx="1005048" cy="876744"/>
                                </a:xfrm>
                                <a:prstGeom prst="rect"/>
                              </pic:spPr>
                            </pic:pic>
                          </a:graphicData>
                        </a:graphic>
                      </wp:inline>
                    </w:drawing>
                  </w:r>
                </w:p>
              </w:tc>
            </w:tr>
            <w:tr>
              <w:tc>
                <w:tcPr>
                  <w:tcW w:type="dxa" w:w="4989"/>
                  <w:tcMar>
                    <w:left w:w="0" w:type="dxa"/>
                    <w:right w:w="0" w:type="dxa"/>
                    <w:top w:w="0" w:type="dxa"/>
                    <w:bottom w:w="0" w:type="dxa"/>
                  </w:tcMar>
                </w:tcPr>
                <w:p>
                  <w:pPr>
                    <w:spacing w:before="0" w:after="0" w:line="152" w:lineRule="exact"/>
                    <w:jc w:val="left"/>
                  </w:pPr>
                  <w:r>
                    <w:rPr>
                      <w:rFonts w:ascii="Times New Roman" w:hAnsi="Times New Roman"/>
                      <w:b w:val="0"/>
                      <w:sz w:val="13"/>
                    </w:rPr>
                    <w:t>Chairman of the Federal Political Council</w:t>
                  </w:r>
                </w:p>
                <w:p>
                  <w:pPr>
                    <w:spacing w:before="0" w:after="0" w:line="152" w:lineRule="exact"/>
                    <w:jc w:val="left"/>
                  </w:pPr>
                  <w:r>
                    <w:rPr>
                      <w:rFonts w:ascii="Times New Roman" w:hAnsi="Times New Roman"/>
                      <w:b w:val="0"/>
                      <w:sz w:val="13"/>
                    </w:rPr>
                    <w:t>of the All-Russian Political Party “Civic Force”</w:t>
                  </w:r>
                </w:p>
              </w:tc>
              <w:tc>
                <w:tcPr>
                  <w:tcW w:type="dxa" w:w="1871"/>
                  <w:tcMar>
                    <w:left w:w="0" w:type="dxa"/>
                    <w:right w:w="0" w:type="dxa"/>
                    <w:top w:w="0" w:type="dxa"/>
                    <w:bottom w:w="0" w:type="dxa"/>
                  </w:tcMar>
                  <w:vAlign w:val="bottom"/>
                </w:tcPr>
                <w:p>
                  <w:pPr>
                    <w:spacing w:before="0" w:after="0" w:line="152" w:lineRule="exact"/>
                    <w:jc w:val="right"/>
                  </w:pPr>
                  <w:r>
                    <w:rPr>
                      <w:rFonts w:ascii="Times New Roman" w:hAnsi="Times New Roman"/>
                      <w:b w:val="0"/>
                      <w:sz w:val="13"/>
                    </w:rPr>
                    <w:t>Ryavkin A.Y.</w:t>
                  </w:r>
                </w:p>
              </w:tc>
            </w:tr>
          </w:tbl>
          <w:p>
            <w:pPr/>
            <w:r/>
          </w:p>
          <w:p>
            <w:pPr>
              <w:spacing w:before="160" w:after="0" w:line="240" w:lineRule="auto"/>
              <w:jc w:val="right"/>
            </w:pPr>
            <w:r>
              <w:drawing>
                <wp:inline xmlns:a="http://schemas.openxmlformats.org/drawingml/2006/main" xmlns:pic="http://schemas.openxmlformats.org/drawingml/2006/picture">
                  <wp:extent cx="630828" cy="149688"/>
                  <wp:docPr id="4" name="Picture 4"/>
                  <wp:cNvGraphicFramePr>
                    <a:graphicFrameLocks noChangeAspect="1"/>
                  </wp:cNvGraphicFramePr>
                  <a:graphic>
                    <a:graphicData uri="http://schemas.openxmlformats.org/drawingml/2006/picture">
                      <pic:pic>
                        <pic:nvPicPr>
                          <pic:cNvPr id="0" name="stamp_mosk.png"/>
                          <pic:cNvPicPr/>
                        </pic:nvPicPr>
                        <pic:blipFill>
                          <a:blip r:embed="rId12"/>
                          <a:stretch>
                            <a:fillRect/>
                          </a:stretch>
                        </pic:blipFill>
                        <pic:spPr>
                          <a:xfrm>
                            <a:off x="0" y="0"/>
                            <a:ext cx="630828" cy="149688"/>
                          </a:xfrm>
                          <a:prstGeom prst="rect"/>
                        </pic:spPr>
                      </pic:pic>
                    </a:graphicData>
                  </a:graphic>
                </wp:inline>
              </w:drawing>
            </w:r>
          </w:p>
          <w:p>
            <w:pPr>
              <w:spacing w:before="0" w:after="0" w:line="90" w:lineRule="exact"/>
              <w:jc w:val="right"/>
            </w:pPr>
            <w:r>
              <w:rPr>
                <w:rFonts w:ascii="Times New Roman" w:hAnsi="Times New Roman"/>
                <w:b w:val="0"/>
                <w:color w:val="B08080"/>
                <w:sz w:val="7"/>
              </w:rPr>
              <w:t>LLC “Printing House ”Eurocopy-2 SPb“. St. Petersburg. 2012. Level “B”.</w:t>
            </w:r>
          </w:p>
        </w:tc>
        <w:tc>
          <w:tcPr>
            <w:tcW w:type="dxa" w:w="8193"/>
            <w:tcMar>
              <w:left w:w="1474" w:type="dxa"/>
              <w:right w:w="170" w:type="dxa"/>
              <w:top w:w="0" w:type="dxa"/>
              <w:bottom w:w="0" w:type="dxa"/>
            </w:tcMar>
          </w:tcPr>
          <w:p>
            <w:pPr>
              <w:spacing w:before="800" w:after="0" w:line="200" w:lineRule="exact"/>
              <w:ind w:left="-624"/>
              <w:jc w:val="left"/>
            </w:pPr>
            <w:r>
              <w:rPr>
                <w:rFonts w:ascii="Times" w:hAnsi="Times"/>
                <w:b/>
                <w:sz w:val="15"/>
              </w:rPr>
              <w:t xml:space="preserve">  </w:t>
            </w:r>
            <w:r>
              <w:drawing>
                <wp:inline xmlns:a="http://schemas.openxmlformats.org/drawingml/2006/main" xmlns:pic="http://schemas.openxmlformats.org/drawingml/2006/picture">
                  <wp:extent cx="304722" cy="138996"/>
                  <wp:docPr id="5" name="Picture 5"/>
                  <wp:cNvGraphicFramePr>
                    <a:graphicFrameLocks noChangeAspect="1"/>
                  </wp:cNvGraphicFramePr>
                  <a:graphic>
                    <a:graphicData uri="http://schemas.openxmlformats.org/drawingml/2006/picture">
                      <pic:pic>
                        <pic:nvPicPr>
                          <pic:cNvPr id="0" name="stamp_va.png"/>
                          <pic:cNvPicPr/>
                        </pic:nvPicPr>
                        <pic:blipFill>
                          <a:blip r:embed="rId13"/>
                          <a:stretch>
                            <a:fillRect/>
                          </a:stretch>
                        </pic:blipFill>
                        <pic:spPr>
                          <a:xfrm>
                            <a:off x="0" y="0"/>
                            <a:ext cx="304722" cy="138996"/>
                          </a:xfrm>
                          <a:prstGeom prst="rect"/>
                        </pic:spPr>
                      </pic:pic>
                    </a:graphicData>
                  </a:graphic>
                </wp:inline>
              </w:drawing>
            </w:r>
            <w:r>
              <w:rPr>
                <w:rFonts w:ascii="Times" w:hAnsi="Times"/>
                <w:b/>
                <w:sz w:val="15"/>
              </w:rPr>
              <w:t xml:space="preserve">  </w:t>
            </w:r>
            <w:r>
              <w:rPr>
                <w:rFonts w:ascii="Times" w:hAnsi="Times"/>
                <w:b/>
                <w:sz w:val="15"/>
              </w:rPr>
              <w:t>City of Moscow, Russian Federation.</w:t>
            </w:r>
          </w:p>
          <w:p>
            <w:pPr>
              <w:spacing w:before="0" w:after="0" w:line="190" w:lineRule="exact"/>
              <w:ind w:left="482"/>
              <w:jc w:val="left"/>
            </w:pPr>
            <w:r>
              <w:rPr>
                <w:rFonts w:ascii="Arial" w:hAnsi="Arial"/>
                <w:b/>
                <w:sz w:val="15"/>
              </w:rPr>
              <w:t>The fifth of July, two thousand thirteen</w:t>
            </w:r>
            <w:r>
              <w:rPr>
                <w:rFonts w:ascii="Times New Roman" w:hAnsi="Times New Roman"/>
                <w:b/>
                <w:sz w:val="15"/>
              </w:rPr>
              <w:t>.</w:t>
            </w:r>
          </w:p>
          <w:p>
            <w:pPr>
              <w:spacing w:before="0" w:after="0" w:line="184" w:lineRule="exact"/>
              <w:ind w:firstLine="482"/>
              <w:jc w:val="both"/>
            </w:pPr>
            <w:r>
              <w:rPr>
                <w:rFonts w:ascii="Times New Roman" w:hAnsi="Times New Roman"/>
                <w:b w:val="0"/>
                <w:sz w:val="15"/>
              </w:rPr>
              <w:t>This power of attorney is certified by me, Lutsikova Irina Anatolyevna, Notary Public of the city of Moscow.</w:t>
            </w:r>
          </w:p>
          <w:p>
            <w:pPr>
              <w:spacing w:before="0" w:after="0" w:line="184" w:lineRule="exact"/>
              <w:ind w:firstLine="482"/>
              <w:jc w:val="both"/>
            </w:pPr>
            <w:r>
              <w:rPr>
                <w:rFonts w:ascii="Times New Roman" w:hAnsi="Times New Roman"/>
                <w:b w:val="0"/>
                <w:sz w:val="15"/>
              </w:rPr>
              <w:t>The power of attorney was executed on behalf of the Electoral Association All-Russian Political Party “Civic Force” by the Chairman of the Federal Political Council Ryavkin Aleksandr Yuryevich, who signed it in my presence.</w:t>
            </w:r>
          </w:p>
          <w:p>
            <w:pPr>
              <w:spacing w:before="0" w:after="0" w:line="184" w:lineRule="exact"/>
              <w:ind w:firstLine="482"/>
              <w:jc w:val="both"/>
            </w:pPr>
            <w:r>
              <w:rPr>
                <w:rFonts w:ascii="Times New Roman" w:hAnsi="Times New Roman"/>
                <w:b w:val="0"/>
                <w:sz w:val="15"/>
              </w:rPr>
              <w:t>The legal capacity of the Electoral Association All-Russian Political Party “Civic Force” and the powers of its representative have been verified.</w:t>
            </w:r>
          </w:p>
          <w:p>
            <w:pPr>
              <w:spacing w:before="0" w:after="0" w:line="184" w:lineRule="exact"/>
              <w:ind w:firstLine="482"/>
              <w:jc w:val="both"/>
            </w:pPr>
            <w:r>
              <w:rPr>
                <w:rFonts w:ascii="Times New Roman" w:hAnsi="Times New Roman"/>
                <w:b w:val="0"/>
                <w:sz w:val="15"/>
              </w:rPr>
              <w:t>The identity of the person who signed the power of attorney has been established, and their legal competence has been verified.</w:t>
            </w:r>
          </w:p>
          <w:p>
            <w:pPr>
              <w:spacing w:before="200" w:after="0" w:line="260" w:lineRule="exact"/>
              <w:ind w:left="397"/>
              <w:jc w:val="left"/>
            </w:pPr>
            <w:r>
              <w:rPr>
                <w:rFonts w:ascii="Times New Roman" w:hAnsi="Times New Roman"/>
                <w:b w:val="0"/>
                <w:sz w:val="15"/>
              </w:rPr>
              <w:t xml:space="preserve">Registered in the register under No. </w:t>
            </w:r>
            <w:r>
              <w:rPr>
                <w:rFonts w:ascii="Segoe Script" w:hAnsi="Segoe Script"/>
                <w:b w:val="0"/>
                <w:i/>
                <w:color w:val="3040A0"/>
                <w:sz w:val="22"/>
              </w:rPr>
              <w:t>1- 4227</w:t>
            </w:r>
          </w:p>
          <w:p>
            <w:pPr>
              <w:spacing w:before="160" w:after="0" w:line="200" w:lineRule="exact"/>
              <w:ind w:left="397"/>
              <w:jc w:val="left"/>
            </w:pPr>
            <w:r>
              <w:rPr>
                <w:rFonts w:ascii="Times New Roman" w:hAnsi="Times New Roman"/>
                <w:b w:val="0"/>
                <w:sz w:val="15"/>
              </w:rPr>
              <w:t>Fee charged: 500 rub. 00 kop. + 1300 rub. 00 kop. (legal and tech. work)</w:t>
            </w:r>
          </w:p>
          <w:p>
            <w:pPr>
              <w:spacing w:before="160" w:after="0" w:line="200" w:lineRule="exact"/>
              <w:ind w:left="2948"/>
              <w:jc w:val="left"/>
            </w:pPr>
            <w:r>
              <w:rPr>
                <w:rFonts w:ascii="Times New Roman" w:hAnsi="Times New Roman"/>
                <w:b w:val="0"/>
                <w:sz w:val="15"/>
              </w:rPr>
              <w:t>Notary Public</w:t>
            </w:r>
          </w:p>
          <w:tbl>
            <w:tblPr>
              <w:tblLook w:firstColumn="1" w:firstRow="1" w:lastColumn="0" w:lastRow="0" w:noHBand="0" w:noVBand="1" w:val="04A0"/>
              <w:tblLayout w:type="fixed"/>
              <w:tblW w:w="6407" w:type="dxa"/>
            </w:tblPr>
            <w:tblGrid>
              <w:gridCol w:w="3118"/>
              <w:gridCol w:w="3288"/>
            </w:tblGrid>
            <w:tr>
              <w:tc>
                <w:tcPr>
                  <w:tcW w:type="dxa" w:w="3118"/>
                  <w:tcMar>
                    <w:left w:w="510" w:type="dxa"/>
                    <w:right w:w="0" w:type="dxa"/>
                    <w:top w:w="0" w:type="dxa"/>
                    <w:bottom w:w="0" w:type="dxa"/>
                  </w:tcMar>
                </w:tcPr>
                <w:p>
                  <w:pPr>
                    <w:spacing w:before="40"/>
                  </w:pPr>
                  <w:r>
                    <w:drawing>
                      <wp:inline xmlns:a="http://schemas.openxmlformats.org/drawingml/2006/main" xmlns:pic="http://schemas.openxmlformats.org/drawingml/2006/picture">
                        <wp:extent cx="1069200" cy="951588"/>
                        <wp:docPr id="6" name="Picture 6"/>
                        <wp:cNvGraphicFramePr>
                          <a:graphicFrameLocks noChangeAspect="1"/>
                        </wp:cNvGraphicFramePr>
                        <a:graphic>
                          <a:graphicData uri="http://schemas.openxmlformats.org/drawingml/2006/picture">
                            <pic:pic>
                              <pic:nvPicPr>
                                <pic:cNvPr id="0" name="seal_notary.png"/>
                                <pic:cNvPicPr/>
                              </pic:nvPicPr>
                              <pic:blipFill>
                                <a:blip r:embed="rId14"/>
                                <a:stretch>
                                  <a:fillRect/>
                                </a:stretch>
                              </pic:blipFill>
                              <pic:spPr>
                                <a:xfrm>
                                  <a:off x="0" y="0"/>
                                  <a:ext cx="1069200" cy="951588"/>
                                </a:xfrm>
                                <a:prstGeom prst="rect"/>
                              </pic:spPr>
                            </pic:pic>
                          </a:graphicData>
                        </a:graphic>
                      </wp:inline>
                    </w:drawing>
                  </w:r>
                </w:p>
              </w:tc>
              <w:tc>
                <w:tcPr>
                  <w:tcW w:type="dxa" w:w="3288"/>
                  <w:tcMar>
                    <w:left w:w="0" w:type="dxa"/>
                    <w:right w:w="0" w:type="dxa"/>
                    <w:top w:w="0" w:type="dxa"/>
                    <w:bottom w:w="0" w:type="dxa"/>
                  </w:tcMar>
                </w:tcPr>
                <w:p>
                  <w:pPr>
                    <w:jc w:val="center"/>
                  </w:pPr>
                  <w:r>
                    <w:drawing>
                      <wp:inline xmlns:a="http://schemas.openxmlformats.org/drawingml/2006/main" xmlns:pic="http://schemas.openxmlformats.org/drawingml/2006/picture">
                        <wp:extent cx="946242" cy="1566378"/>
                        <wp:docPr id="7" name="Picture 7"/>
                        <wp:cNvGraphicFramePr>
                          <a:graphicFrameLocks noChangeAspect="1"/>
                        </wp:cNvGraphicFramePr>
                        <a:graphic>
                          <a:graphicData uri="http://schemas.openxmlformats.org/drawingml/2006/picture">
                            <pic:pic>
                              <pic:nvPicPr>
                                <pic:cNvPr id="0" name="sign_notary.png"/>
                                <pic:cNvPicPr/>
                              </pic:nvPicPr>
                              <pic:blipFill>
                                <a:blip r:embed="rId15"/>
                                <a:stretch>
                                  <a:fillRect/>
                                </a:stretch>
                              </pic:blipFill>
                              <pic:spPr>
                                <a:xfrm>
                                  <a:off x="0" y="0"/>
                                  <a:ext cx="946242" cy="1566378"/>
                                </a:xfrm>
                                <a:prstGeom prst="rect"/>
                              </pic:spPr>
                            </pic:pic>
                          </a:graphicData>
                        </a:graphic>
                      </wp:inline>
                    </w:drawing>
                  </w:r>
                </w:p>
              </w:tc>
            </w:tr>
          </w:tbl>
          <w:p>
            <w:pPr>
              <w:spacing w:before="0" w:after="0" w:line="20" w:lineRule="exact"/>
            </w:pPr>
            <w:r/>
          </w:p>
        </w:tc>
      </w:tr>
    </w:tbl>
    <w:sectPr w:rsidR="00FC693F" w:rsidRPr="0006063C" w:rsidSect="00034616">
      <w:pgSz w:w="16838" w:h="11906" w:orient="landscape"/>
      <w:pgMar w:top="227" w:right="227" w:bottom="227" w:left="22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