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ook w:firstColumn="1" w:firstRow="1" w:lastColumn="0" w:lastRow="0" w:noHBand="0" w:noVBand="1" w:val="04A0"/>
        <w:tblLayout w:type="fixed"/>
        <w:tblW w:w="16386" w:type="dxa"/>
      </w:tblPr>
      <w:tblGrid>
        <w:gridCol w:w="8193"/>
        <w:gridCol w:w="8193"/>
      </w:tblGrid>
      <w:tr>
        <w:tc>
          <w:tcPr>
            <w:tcW w:type="dxa" w:w="8193"/>
            <w:tcMar>
              <w:left w:w="793" w:type="dxa"/>
              <w:right w:w="510" w:type="dxa"/>
              <w:top w:w="0" w:type="dxa"/>
              <w:bottom w:w="0" w:type="dxa"/>
            </w:tcMar>
          </w:tcPr>
          <w:p>
            <w:pPr>
              <w:spacing w:before="12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320000" cy="330323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eader_ornament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0" cy="33032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 w:line="240" w:lineRule="exact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ДОВЕРЕННОСТЬ</w:t>
            </w:r>
          </w:p>
          <w:p>
            <w:pPr>
              <w:spacing w:before="80" w:after="0" w:line="168" w:lineRule="exact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Город Москва, Российская Федерация.</w:t>
            </w:r>
          </w:p>
          <w:p>
            <w:pPr>
              <w:spacing w:before="0" w:after="0" w:line="168" w:lineRule="exact"/>
              <w:jc w:val="center"/>
            </w:pPr>
            <w:r>
              <w:rPr>
                <w:rFonts w:ascii="Times New Roman" w:hAnsi="Times New Roman"/>
                <w:b/>
                <w:sz w:val="14"/>
              </w:rPr>
              <w:t>Пятого июля две тысячи тринадцатого года.</w:t>
            </w:r>
          </w:p>
          <w:p>
            <w:pPr>
              <w:spacing w:before="0" w:after="0" w:line="180" w:lineRule="exact"/>
              <w:ind w:left="2098"/>
              <w:jc w:val="left"/>
            </w:pPr>
            <w:r>
              <w:rPr>
                <w:rFonts w:ascii="Courier New" w:hAnsi="Courier New"/>
                <w:color w:val="C03030"/>
                <w:sz w:val="18"/>
              </w:rPr>
              <w:t>77 А А 7119078</w:t>
            </w:r>
          </w:p>
          <w:p>
            <w:pPr>
              <w:spacing w:before="0" w:after="0" w:line="152" w:lineRule="exact"/>
              <w:ind w:firstLine="510"/>
              <w:jc w:val="both"/>
            </w:pPr>
            <w:r>
              <w:rPr>
                <w:rFonts w:ascii="Times New Roman" w:hAnsi="Times New Roman"/>
                <w:b w:val="0"/>
                <w:sz w:val="13"/>
              </w:rPr>
              <w:t xml:space="preserve">Избирательное объединение «Всероссийская политическая партия «Гражданская Сила» в лице Председателя Федерального политического совета </w:t>
            </w:r>
            <w:r>
              <w:rPr>
                <w:rFonts w:ascii="Arial" w:hAnsi="Arial"/>
                <w:b/>
                <w:sz w:val="13"/>
              </w:rPr>
              <w:t>Рявкина Александра Юрьевича</w:t>
            </w:r>
            <w:r>
              <w:rPr>
                <w:rFonts w:ascii="Times New Roman" w:hAnsi="Times New Roman"/>
                <w:b w:val="0"/>
                <w:sz w:val="13"/>
              </w:rPr>
              <w:t>, действующего на основании устава, а также решения Федерального политического совета Всероссийской политической партии «Гражданская Сила» о назначении уполномоченных представителей избирательного объединения от 30 июня 2013 года, настоящей доверенностью уполномочивает гражданина</w:t>
            </w:r>
          </w:p>
          <w:p>
            <w:pPr>
              <w:spacing w:before="0" w:after="0" w:line="152" w:lineRule="exact"/>
              <w:ind w:firstLine="510"/>
              <w:jc w:val="both"/>
            </w:pPr>
            <w:r>
              <w:rPr>
                <w:rFonts w:ascii="Arial" w:hAnsi="Arial"/>
                <w:b/>
                <w:sz w:val="13"/>
              </w:rPr>
              <w:t>Фамилия Имя Отчество</w:t>
            </w:r>
            <w:r>
              <w:rPr>
                <w:rFonts w:ascii="Times New Roman" w:hAnsi="Times New Roman"/>
                <w:b w:val="0"/>
                <w:sz w:val="13"/>
              </w:rPr>
              <w:t xml:space="preserve"> , дата рождения 16.12.1981 года, место рождения Г. ТОЛЬЯТТИ САМАРСКОЙ ОБЛ., вид документа паспорт гражданина Российской Федерации </w:t>
            </w:r>
            <w:r>
              <w:rPr>
                <w:rFonts w:ascii="Arial" w:hAnsi="Arial"/>
                <w:b/>
                <w:sz w:val="13"/>
              </w:rPr>
              <w:t>серия и номер</w:t>
            </w:r>
            <w:r>
              <w:rPr>
                <w:rFonts w:ascii="Times New Roman" w:hAnsi="Times New Roman"/>
                <w:b w:val="0"/>
                <w:sz w:val="13"/>
              </w:rPr>
              <w:t xml:space="preserve"> , выдан 20.04.2005 АВТОЗАВОДСКИМ РУВД Г.ТОЛЬЯТТИ САМАРСКОЙ ОБЛ., код подразделения 632-033, адрес места жительства Самарская область г.Тольятти, ул. 40 лет Победы, дом.</w:t>
            </w:r>
            <w:r>
              <w:rPr>
                <w:rFonts w:ascii="Arial" w:hAnsi="Arial"/>
                <w:b/>
                <w:sz w:val="13"/>
              </w:rPr>
              <w:t>№</w:t>
            </w:r>
            <w:r>
              <w:rPr>
                <w:rFonts w:ascii="Times New Roman" w:hAnsi="Times New Roman"/>
                <w:b w:val="0"/>
                <w:sz w:val="13"/>
              </w:rPr>
              <w:t xml:space="preserve"> , кв.</w:t>
            </w:r>
            <w:r>
              <w:rPr>
                <w:rFonts w:ascii="Arial" w:hAnsi="Arial"/>
                <w:b/>
                <w:sz w:val="13"/>
              </w:rPr>
              <w:t>№</w:t>
            </w:r>
            <w:r>
              <w:rPr>
                <w:rFonts w:ascii="Times New Roman" w:hAnsi="Times New Roman"/>
                <w:b w:val="0"/>
                <w:sz w:val="13"/>
              </w:rPr>
              <w:t xml:space="preserve"> быть уполномоченным представителем по финансовым вопросам избирательного объединения «Всероссийская политическая партия «Гражданская Сила», а именно по вопросам, связанным с участием данного избирательного объединения в выборах депутатов Думы городского округа Тольятти шестого созыва и совершать необходимые действия в пределах указанных полномочий:</w:t>
            </w:r>
          </w:p>
          <w:p>
            <w:pPr>
              <w:spacing w:before="0" w:after="0" w:line="152" w:lineRule="exact"/>
              <w:jc w:val="both"/>
            </w:pPr>
            <w:r>
              <w:rPr>
                <w:rFonts w:ascii="Times New Roman" w:hAnsi="Times New Roman"/>
                <w:b w:val="0"/>
                <w:sz w:val="13"/>
              </w:rPr>
              <w:t>а) открытие специального избирательного счета;</w:t>
            </w:r>
          </w:p>
          <w:p>
            <w:pPr>
              <w:spacing w:before="0" w:after="0" w:line="152" w:lineRule="exact"/>
              <w:jc w:val="both"/>
            </w:pPr>
            <w:r>
              <w:rPr>
                <w:rFonts w:ascii="Times New Roman" w:hAnsi="Times New Roman"/>
                <w:b w:val="0"/>
                <w:sz w:val="13"/>
              </w:rPr>
              <w:t>б) распоряжение денежными средствами избирательного фонда, включая выдачу поручений о перечислении средств (выдачи наличными) со специального избирательного счета, возврат средств со специального избирательного счета гражданам и юридическим лицам, их направившим, а также пропорциональное распределение остатков денежных средств со специального избирательного счета;</w:t>
            </w:r>
          </w:p>
          <w:p>
            <w:pPr>
              <w:spacing w:before="0" w:after="0" w:line="152" w:lineRule="exact"/>
              <w:jc w:val="both"/>
            </w:pPr>
            <w:r>
              <w:rPr>
                <w:rFonts w:ascii="Times New Roman" w:hAnsi="Times New Roman"/>
                <w:b w:val="0"/>
                <w:sz w:val="13"/>
              </w:rPr>
              <w:t>в) учет денежных средств избирательного фонда, включая получение в филиале Сберегательного банка – держателе специального избирательного счета – выписок по специальному избирательному счету и получение первичных финансовых документов;</w:t>
            </w:r>
          </w:p>
          <w:p>
            <w:pPr>
              <w:spacing w:before="0" w:after="0" w:line="152" w:lineRule="exact"/>
              <w:jc w:val="both"/>
            </w:pPr>
            <w:r>
              <w:rPr>
                <w:rFonts w:ascii="Times New Roman" w:hAnsi="Times New Roman"/>
                <w:b w:val="0"/>
                <w:sz w:val="13"/>
              </w:rPr>
              <w:t>г) контроль за поступлением и расходованием средств избирательного фонда, возврат (перечисление в доход местного бюджета) пожертвований, поступивших с нарушением установленного порядка;</w:t>
            </w:r>
          </w:p>
          <w:p>
            <w:pPr>
              <w:spacing w:before="0" w:after="0" w:line="152" w:lineRule="exact"/>
              <w:jc w:val="both"/>
            </w:pPr>
            <w:r>
              <w:rPr>
                <w:rFonts w:ascii="Times New Roman" w:hAnsi="Times New Roman"/>
                <w:b w:val="0"/>
                <w:sz w:val="13"/>
              </w:rPr>
              <w:t>д) представление в избирательную комиссию финансовых отчетов и первичных финансовых документов, подтверждающих поступление и расходование средств избирательного фонда, а также иных документов от имени избирательного объединения;</w:t>
            </w:r>
          </w:p>
          <w:p>
            <w:pPr>
              <w:spacing w:before="0" w:after="0" w:line="152" w:lineRule="exact"/>
              <w:jc w:val="both"/>
            </w:pPr>
            <w:r>
              <w:rPr>
                <w:rFonts w:ascii="Times New Roman" w:hAnsi="Times New Roman"/>
                <w:b w:val="0"/>
                <w:sz w:val="13"/>
              </w:rPr>
              <w:t>е) право заключения и расторжения договоров, сделок и соглашением, связанных с финансированием избирательной кампании избирательного объединения, подписания актов выполненных работ, графиков предоставления эфирного времени, печатной площади, справок и иных приложений, документов, связанных с финансированием избирательной кампании;</w:t>
            </w:r>
          </w:p>
          <w:p>
            <w:pPr>
              <w:spacing w:before="0" w:after="0" w:line="152" w:lineRule="exact"/>
              <w:jc w:val="both"/>
            </w:pPr>
            <w:r>
              <w:rPr>
                <w:rFonts w:ascii="Times New Roman" w:hAnsi="Times New Roman"/>
                <w:b w:val="0"/>
                <w:sz w:val="13"/>
              </w:rPr>
              <w:t>ж) закрытие специального избирательного счета;</w:t>
            </w:r>
          </w:p>
          <w:p>
            <w:pPr>
              <w:spacing w:before="0" w:after="0" w:line="152" w:lineRule="exact"/>
              <w:jc w:val="both"/>
            </w:pPr>
            <w:r>
              <w:rPr>
                <w:rFonts w:ascii="Times New Roman" w:hAnsi="Times New Roman"/>
                <w:b w:val="0"/>
                <w:sz w:val="13"/>
              </w:rPr>
              <w:t>з) право подписи на расчетных документах, иных документах, связанных с финансированием избирательной кампании;</w:t>
            </w:r>
          </w:p>
          <w:p>
            <w:pPr>
              <w:spacing w:before="0" w:after="0" w:line="152" w:lineRule="exact"/>
              <w:jc w:val="both"/>
            </w:pPr>
            <w:r>
              <w:rPr>
                <w:rFonts w:ascii="Times New Roman" w:hAnsi="Times New Roman"/>
                <w:b w:val="0"/>
                <w:sz w:val="13"/>
              </w:rPr>
              <w:t>и) право использования печати для заверения финансовых документов;</w:t>
            </w:r>
          </w:p>
          <w:p>
            <w:pPr>
              <w:spacing w:before="0" w:after="0" w:line="152" w:lineRule="exact"/>
              <w:jc w:val="both"/>
            </w:pPr>
            <w:r>
              <w:rPr>
                <w:rFonts w:ascii="Times New Roman" w:hAnsi="Times New Roman"/>
                <w:b w:val="0"/>
                <w:sz w:val="13"/>
              </w:rPr>
              <w:t>к) право представления интересов избирательного объединения Всероссийская политическая партия «Гражданская Сила» в соответствующих избирательных комиссиях, судах, государственных и муниципальных органах и организациях, в отношениях с физическими лицами;</w:t>
            </w:r>
          </w:p>
          <w:p>
            <w:pPr>
              <w:spacing w:before="0" w:after="0" w:line="152" w:lineRule="exact"/>
              <w:jc w:val="both"/>
            </w:pPr>
            <w:r>
              <w:rPr>
                <w:rFonts w:ascii="Times New Roman" w:hAnsi="Times New Roman"/>
                <w:b w:val="0"/>
                <w:sz w:val="13"/>
              </w:rPr>
              <w:t>л) право предоставления, подачи и получения необходимых документов в Избирательной комиссии городского округа Тольятти, в иных избирательных комиссиях, органах и организациях;</w:t>
            </w:r>
          </w:p>
          <w:p>
            <w:pPr>
              <w:spacing w:before="0" w:after="0" w:line="152" w:lineRule="exact"/>
              <w:jc w:val="both"/>
            </w:pPr>
            <w:r>
              <w:rPr>
                <w:rFonts w:ascii="Times New Roman" w:hAnsi="Times New Roman"/>
                <w:b w:val="0"/>
                <w:sz w:val="13"/>
              </w:rPr>
              <w:t>м) иные полномочия, касающиеся деятельности избирательного объединения по финансированию своей избирательной кампании;</w:t>
            </w:r>
          </w:p>
          <w:p>
            <w:pPr>
              <w:spacing w:before="0" w:after="0" w:line="152" w:lineRule="exact"/>
              <w:jc w:val="both"/>
            </w:pPr>
            <w:r>
              <w:rPr>
                <w:rFonts w:ascii="Times New Roman" w:hAnsi="Times New Roman"/>
                <w:b w:val="0"/>
                <w:sz w:val="13"/>
              </w:rPr>
              <w:t>н) иные полномочия, связанные с осуществлением перечисленных выше полномочий.</w:t>
            </w:r>
          </w:p>
          <w:p>
            <w:pPr>
              <w:spacing w:before="0" w:after="0" w:line="152" w:lineRule="exact"/>
              <w:ind w:firstLine="510"/>
              <w:jc w:val="both"/>
            </w:pPr>
            <w:r>
              <w:rPr>
                <w:rFonts w:ascii="Times New Roman" w:hAnsi="Times New Roman"/>
                <w:b w:val="0"/>
                <w:sz w:val="13"/>
              </w:rPr>
              <w:t xml:space="preserve">Полномочия гражданина            </w:t>
            </w:r>
            <w:r>
              <w:rPr>
                <w:rFonts w:ascii="Arial" w:hAnsi="Arial"/>
                <w:b/>
                <w:sz w:val="13"/>
              </w:rPr>
              <w:t>Фамилия Имя Отчество</w:t>
            </w:r>
            <w:r>
              <w:rPr>
                <w:rFonts w:ascii="Times New Roman" w:hAnsi="Times New Roman"/>
                <w:b w:val="0"/>
                <w:sz w:val="13"/>
              </w:rPr>
              <w:t xml:space="preserve">            по настоящей доверенности начинаются с момента его регистрации уполномоченным представителем по финансовым вопросам Избирательной комиссией городского округа Тольятти и прекращаются через шестьдесят дней со дня голосования, а в случае проведения судебного разбирательства — со дня, следующего за днем вступления в законную силу судебного решения.</w:t>
            </w:r>
          </w:p>
          <w:p>
            <w:pPr>
              <w:spacing w:before="0" w:after="0" w:line="152" w:lineRule="exact"/>
              <w:ind w:firstLine="510"/>
              <w:jc w:val="both"/>
            </w:pPr>
            <w:r>
              <w:rPr>
                <w:rFonts w:ascii="Times New Roman" w:hAnsi="Times New Roman"/>
                <w:b w:val="0"/>
                <w:sz w:val="13"/>
              </w:rPr>
              <w:t>Общий срок доверенности до тридцать первого декабря две тысячи тринадцатого года.</w:t>
            </w:r>
          </w:p>
          <w:p>
            <w:pPr>
              <w:spacing w:before="0" w:after="0" w:line="152" w:lineRule="exact"/>
              <w:ind w:firstLine="510"/>
              <w:jc w:val="both"/>
            </w:pPr>
            <w:r>
              <w:rPr>
                <w:rFonts w:ascii="Times New Roman" w:hAnsi="Times New Roman"/>
                <w:b w:val="0"/>
                <w:sz w:val="13"/>
              </w:rPr>
              <w:t>Доверенность выдана без права передоверия.</w:t>
            </w:r>
          </w:p>
          <w:p>
            <w:pPr>
              <w:spacing w:before="0" w:after="0" w:line="152" w:lineRule="exact"/>
              <w:jc w:val="both"/>
            </w:pPr>
            <w:r>
              <w:rPr>
                <w:rFonts w:ascii="Times New Roman" w:hAnsi="Times New Roman"/>
                <w:b w:val="0"/>
                <w:sz w:val="13"/>
              </w:rPr>
              <w:t>Оттиск печати для финансовых документов избирательного объединения:</w:t>
            </w:r>
          </w:p>
          <w:tbl>
            <w:tblPr>
              <w:tblLook w:firstColumn="1" w:firstRow="1" w:lastColumn="0" w:lastRow="0" w:noHBand="0" w:noVBand="1" w:val="04A0"/>
              <w:tblLayout w:type="fixed"/>
              <w:tblW w:w="6860" w:type="dxa"/>
            </w:tblPr>
            <w:tblGrid>
              <w:gridCol w:w="4989"/>
              <w:gridCol w:w="1871"/>
            </w:tblGrid>
            <w:tr>
              <w:tc>
                <w:tcPr>
                  <w:tcW w:type="dxa" w:w="4989"/>
                  <w:tcMar>
                    <w:left w:w="0" w:type="dxa"/>
                    <w:right w:w="0" w:type="dxa"/>
                    <w:top w:w="0" w:type="dxa"/>
                    <w:bottom w:w="0" w:type="dxa"/>
                  </w:tcMar>
                  <w:tcBorders>
                    <w:bottom w:val="single" w:sz="6" w:space="0" w:color="000000"/>
                  </w:tcBorders>
                  <w:vAlign w:val="bottom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993760" cy="342144"/>
                        <wp:docPr id="2" name="Picture 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sign_chair.pn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93760" cy="34214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871"/>
                  <w:tcMar>
                    <w:left w:w="0" w:type="dxa"/>
                    <w:right w:w="0" w:type="dxa"/>
                    <w:top w:w="0" w:type="dxa"/>
                    <w:bottom w:w="0" w:type="dxa"/>
                  </w:tcMar>
                  <w:tcBorders>
                    <w:bottom w:val="single" w:sz="6" w:space="0" w:color="000000"/>
                  </w:tcBorders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05048" cy="876744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seal_party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5048" cy="87674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c>
                <w:tcPr>
                  <w:tcW w:type="dxa" w:w="4989"/>
                  <w:tcMar>
                    <w:left w:w="0" w:type="dxa"/>
                    <w:right w:w="0" w:type="dxa"/>
                    <w:top w:w="0" w:type="dxa"/>
                    <w:bottom w:w="0" w:type="dxa"/>
                  </w:tcMar>
                </w:tcPr>
                <w:p>
                  <w:pPr>
                    <w:spacing w:before="0" w:after="0" w:line="152" w:lineRule="exact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3"/>
                    </w:rPr>
                    <w:t>Председатель Федерального политического совета</w:t>
                  </w:r>
                </w:p>
                <w:p>
                  <w:pPr>
                    <w:spacing w:before="0" w:after="0" w:line="152" w:lineRule="exact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3"/>
                    </w:rPr>
                    <w:t>Всероссийской политической партии «Гражданская Сила»</w:t>
                  </w:r>
                </w:p>
              </w:tc>
              <w:tc>
                <w:tcPr>
                  <w:tcW w:type="dxa" w:w="1871"/>
                  <w:tcMar>
                    <w:left w:w="0" w:type="dxa"/>
                    <w:right w:w="0" w:type="dxa"/>
                    <w:top w:w="0" w:type="dxa"/>
                    <w:bottom w:w="0" w:type="dxa"/>
                  </w:tcMar>
                  <w:vAlign w:val="bottom"/>
                </w:tcPr>
                <w:p>
                  <w:pPr>
                    <w:spacing w:before="0" w:after="0" w:line="152" w:lineRule="exact"/>
                    <w:jc w:val="right"/>
                  </w:pPr>
                  <w:r>
                    <w:rPr>
                      <w:rFonts w:ascii="Times New Roman" w:hAnsi="Times New Roman"/>
                      <w:b w:val="0"/>
                      <w:sz w:val="13"/>
                    </w:rPr>
                    <w:t>Рявкин А.Ю.</w:t>
                  </w:r>
                </w:p>
              </w:tc>
            </w:tr>
          </w:tbl>
          <w:p/>
          <w:p>
            <w:pPr>
              <w:spacing w:before="160" w:after="0"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630828" cy="149688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_mos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828" cy="14968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 w:line="90" w:lineRule="exact"/>
              <w:jc w:val="right"/>
            </w:pPr>
            <w:r>
              <w:rPr>
                <w:rFonts w:ascii="Times New Roman" w:hAnsi="Times New Roman"/>
                <w:b w:val="0"/>
                <w:color w:val="B08080"/>
                <w:sz w:val="7"/>
              </w:rPr>
              <w:t>ООО «Типография «Еврокопия-2 СПб». г. Санкт-Петербург. 2012 г. Уровень «В».</w:t>
            </w:r>
          </w:p>
        </w:tc>
        <w:tc>
          <w:tcPr>
            <w:tcW w:type="dxa" w:w="8193"/>
            <w:tcMar>
              <w:left w:w="1474" w:type="dxa"/>
              <w:right w:w="170" w:type="dxa"/>
              <w:top w:w="0" w:type="dxa"/>
              <w:bottom w:w="0" w:type="dxa"/>
            </w:tcMar>
          </w:tcPr>
          <w:p>
            <w:pPr>
              <w:spacing w:before="800" w:after="0" w:line="200" w:lineRule="exact"/>
              <w:ind w:left="-624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304722" cy="138996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_va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722" cy="138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" w:hAnsi="Times"/>
                <w:b w:val="0"/>
                <w:sz w:val="15"/>
              </w:rPr>
              <w:t xml:space="preserve">  </w:t>
            </w:r>
            <w:r>
              <w:rPr>
                <w:rFonts w:ascii="Times" w:hAnsi="Times"/>
                <w:b/>
                <w:sz w:val="15"/>
              </w:rPr>
              <w:t>Город Москва, Российская Федерация.</w:t>
            </w:r>
          </w:p>
          <w:p>
            <w:pPr>
              <w:spacing w:before="0" w:after="0" w:line="190" w:lineRule="exact"/>
              <w:ind w:left="482"/>
              <w:jc w:val="left"/>
            </w:pPr>
            <w:r>
              <w:rPr>
                <w:rFonts w:ascii="Arial" w:hAnsi="Arial"/>
                <w:b/>
                <w:sz w:val="15"/>
              </w:rPr>
              <w:t>Пятого июля две тысячи тринадцатого года</w:t>
            </w:r>
            <w:r>
              <w:rPr>
                <w:rFonts w:ascii="Times New Roman" w:hAnsi="Times New Roman"/>
                <w:b w:val="0"/>
                <w:sz w:val="15"/>
              </w:rPr>
              <w:t>.</w:t>
            </w:r>
          </w:p>
          <w:p>
            <w:pPr>
              <w:spacing w:before="0" w:after="0" w:line="184" w:lineRule="exact"/>
              <w:ind w:firstLine="482"/>
              <w:jc w:val="both"/>
            </w:pPr>
            <w:r>
              <w:rPr>
                <w:rFonts w:ascii="Times New Roman" w:hAnsi="Times New Roman"/>
                <w:b w:val="0"/>
                <w:sz w:val="15"/>
              </w:rPr>
              <w:t>Настоящая доверенность удостоверена мной, Луциковой Ириной Анатольевной, нотариусом города Москвы.</w:t>
            </w:r>
          </w:p>
          <w:p>
            <w:pPr>
              <w:spacing w:before="0" w:after="0" w:line="184" w:lineRule="exact"/>
              <w:ind w:firstLine="482"/>
              <w:jc w:val="both"/>
            </w:pPr>
            <w:r>
              <w:rPr>
                <w:rFonts w:ascii="Times New Roman" w:hAnsi="Times New Roman"/>
                <w:b w:val="0"/>
                <w:sz w:val="15"/>
              </w:rPr>
              <w:t>Доверенность совершена от имени Избирательного объединения Всероссийская политическая партия «Гражданская Сила» председателем Федерального политического совета Рявкиным Александром Юрьевичем, подписавшим ее в моем присутствии.</w:t>
            </w:r>
          </w:p>
          <w:p>
            <w:pPr>
              <w:spacing w:before="0" w:after="0" w:line="184" w:lineRule="exact"/>
              <w:ind w:firstLine="482"/>
              <w:jc w:val="both"/>
            </w:pPr>
            <w:r>
              <w:rPr>
                <w:rFonts w:ascii="Times New Roman" w:hAnsi="Times New Roman"/>
                <w:b w:val="0"/>
                <w:sz w:val="15"/>
              </w:rPr>
              <w:t>Правоспособность Избирательного объединения Всероссийская политическая партия «Гражданская Сила» и полномочия его представителя проверены.</w:t>
            </w:r>
          </w:p>
          <w:p>
            <w:pPr>
              <w:spacing w:before="0" w:after="0" w:line="184" w:lineRule="exact"/>
              <w:ind w:firstLine="482"/>
              <w:jc w:val="both"/>
            </w:pPr>
            <w:r>
              <w:rPr>
                <w:rFonts w:ascii="Times New Roman" w:hAnsi="Times New Roman"/>
                <w:b w:val="0"/>
                <w:sz w:val="15"/>
              </w:rPr>
              <w:t>Личность подписавшего доверенность установлена, дееспособность проверена.</w:t>
            </w:r>
          </w:p>
          <w:p>
            <w:pPr>
              <w:spacing w:before="200" w:after="0" w:line="260" w:lineRule="exact"/>
              <w:ind w:left="397"/>
              <w:jc w:val="left"/>
            </w:pPr>
            <w:r>
              <w:rPr>
                <w:rFonts w:ascii="Times New Roman" w:hAnsi="Times New Roman"/>
                <w:b w:val="0"/>
                <w:sz w:val="15"/>
              </w:rPr>
              <w:t xml:space="preserve">Зарегистрировано в реестре за № </w:t>
            </w:r>
            <w:r>
              <w:rPr>
                <w:rFonts w:ascii="Segoe Script" w:hAnsi="Segoe Script"/>
                <w:i/>
                <w:color w:val="3040A0"/>
                <w:sz w:val="22"/>
              </w:rPr>
              <w:t>1- 4227</w:t>
            </w:r>
          </w:p>
          <w:p>
            <w:pPr>
              <w:spacing w:before="160" w:after="0" w:line="200" w:lineRule="exact"/>
              <w:ind w:left="397"/>
              <w:jc w:val="left"/>
            </w:pPr>
            <w:r>
              <w:rPr>
                <w:rFonts w:ascii="Times New Roman" w:hAnsi="Times New Roman"/>
                <w:b w:val="0"/>
                <w:sz w:val="15"/>
              </w:rPr>
              <w:t>Взыскано по тарифу: 500 руб. 00 коп. + 1300 руб. 00 коп. (прав. и тех. раб.)</w:t>
            </w:r>
          </w:p>
          <w:p>
            <w:pPr>
              <w:spacing w:before="160" w:after="0" w:line="200" w:lineRule="exact"/>
              <w:ind w:left="2948"/>
              <w:jc w:val="left"/>
            </w:pPr>
            <w:r>
              <w:rPr>
                <w:rFonts w:ascii="Times New Roman" w:hAnsi="Times New Roman"/>
                <w:b w:val="0"/>
                <w:sz w:val="15"/>
              </w:rPr>
              <w:t>Нотариус</w:t>
            </w:r>
          </w:p>
          <w:tbl>
            <w:tblPr>
              <w:tblLook w:firstColumn="1" w:firstRow="1" w:lastColumn="0" w:lastRow="0" w:noHBand="0" w:noVBand="1" w:val="04A0"/>
              <w:tblLayout w:type="fixed"/>
              <w:tblW w:w="6407" w:type="dxa"/>
            </w:tblPr>
            <w:tblGrid>
              <w:gridCol w:w="3118"/>
              <w:gridCol w:w="3288"/>
            </w:tblGrid>
            <w:tr>
              <w:tc>
                <w:tcPr>
                  <w:tcW w:type="dxa" w:w="3118"/>
                  <w:tcMar>
                    <w:left w:w="510" w:type="dxa"/>
                    <w:right w:w="0" w:type="dxa"/>
                    <w:top w:w="0" w:type="dxa"/>
                    <w:bottom w:w="0" w:type="dxa"/>
                  </w:tcMar>
                </w:tcPr>
                <w:p>
                  <w:pPr>
                    <w:spacing w:before="4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69200" cy="951588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seal_notary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69200" cy="951588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288"/>
                  <w:tcMar>
                    <w:left w:w="0" w:type="dxa"/>
                    <w:right w:w="0" w:type="dxa"/>
                    <w:top w:w="0" w:type="dxa"/>
                    <w:bottom w:w="0" w:type="dxa"/>
                  </w:tcMar>
                </w:tcPr>
                <w:p>
                  <w:pPr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46242" cy="1566378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sign_notary.png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6242" cy="1566378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sectPr w:rsidR="00FC693F" w:rsidRPr="0006063C" w:rsidSect="00034616">
      <w:pgSz w:w="16838" w:h="11906" w:orient="landscape"/>
      <w:pgMar w:top="227" w:right="227" w:bottom="227" w:left="22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